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</w:pPr>
      <w:bookmarkStart w:id="0" w:name="_Toc458159018"/>
      <w:r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>ОСНОВНО  УЧИЛИЩЕ”ХРИСТО БОТЕВ”-с.Силен</w:t>
      </w: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 xml:space="preserve">        6380 с.Силен                         </w:t>
      </w:r>
      <w:r w:rsidR="0077435D"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 xml:space="preserve">                                     </w:t>
      </w:r>
      <w:r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>тел. :0879635768 - Директор</w:t>
      </w: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 xml:space="preserve">                                                     </w:t>
      </w:r>
      <w:r w:rsidR="0077435D"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 xml:space="preserve">                                               </w:t>
      </w:r>
      <w:r w:rsidRPr="00CD17A9">
        <w:rPr>
          <w:rFonts w:ascii="Times New Roman" w:eastAsia="Microsoft YaHei" w:hAnsi="Times New Roman"/>
          <w:b/>
          <w:bCs/>
          <w:kern w:val="1"/>
          <w:sz w:val="36"/>
          <w:szCs w:val="36"/>
          <w:lang w:val="en-US" w:eastAsia="zh-CN" w:bidi="hi-IN"/>
        </w:rPr>
        <w:t xml:space="preserve">e-mail: hr_botev_silen@abv.bg                                       </w:t>
      </w: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lang w:val="en-US" w:eastAsia="zh-CN" w:bidi="hi-IN"/>
        </w:rPr>
        <w:t xml:space="preserve">УТВЪРЖДАВАМ :  </w:t>
      </w:r>
    </w:p>
    <w:p w:rsidR="00E94207" w:rsidRPr="00CD17A9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lang w:val="en-US" w:eastAsia="zh-CN" w:bidi="hi-IN"/>
        </w:rPr>
        <w:t xml:space="preserve">                         </w:t>
      </w:r>
      <w:r w:rsidR="00267819" w:rsidRPr="00CD17A9">
        <w:rPr>
          <w:rFonts w:ascii="Times New Roman" w:eastAsia="Microsoft YaHei" w:hAnsi="Times New Roman"/>
          <w:b/>
          <w:bCs/>
          <w:kern w:val="1"/>
          <w:lang w:eastAsia="zh-CN" w:bidi="hi-IN"/>
        </w:rPr>
        <w:t>Юскяр Мустафа</w:t>
      </w:r>
    </w:p>
    <w:p w:rsidR="00E94207" w:rsidRPr="00CD17A9" w:rsidRDefault="00E94207" w:rsidP="00267819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lang w:val="en-US" w:eastAsia="zh-CN" w:bidi="hi-IN"/>
        </w:rPr>
        <w:t xml:space="preserve">                         Директор на ОУ”Христо Ботев”</w:t>
      </w:r>
    </w:p>
    <w:p w:rsidR="00267819" w:rsidRPr="00CD17A9" w:rsidRDefault="00267819" w:rsidP="00267819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</w:p>
    <w:p w:rsidR="00365B99" w:rsidRPr="00CD17A9" w:rsidRDefault="00365B99" w:rsidP="0077435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  <w:r w:rsidRPr="00CD17A9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CD17A9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CD17A9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CD17A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CD17A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CD17A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непрекъснатост, прозрачност и демократичност в процеса за повишаване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365B99" w:rsidRPr="00CD17A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365B99" w:rsidRPr="00CD17A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CD17A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CD17A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CD17A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365B99" w:rsidRPr="00CD17A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CD17A9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CD17A9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CD17A9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CD17A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CD17A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CD17A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CD17A9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CD17A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ab/>
        <w:t>Броят на членовете, съставът и срокът за изпълнение на работата на комисията или комисиите се определя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CD17A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CD17A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CD17A9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CD17A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CD17A9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CD17A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CD17A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CD17A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CD17A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CD17A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училището или на Националната агенция за професи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CD17A9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CD17A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CD17A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CD17A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CD17A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CD17A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CD17A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CD17A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CD17A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CD17A9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lastRenderedPageBreak/>
        <w:t>изпълнение</w:t>
      </w:r>
      <w:r w:rsidR="00365B99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CD17A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CD17A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CD17A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CD17A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CD17A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CD17A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CD17A9">
        <w:rPr>
          <w:rFonts w:ascii="Times New Roman" w:eastAsiaTheme="minorEastAsia" w:hAnsi="Times New Roman"/>
          <w:lang w:eastAsia="bg-BG"/>
        </w:rPr>
        <w:tab/>
      </w:r>
      <w:r w:rsidR="00DA1132" w:rsidRPr="00CD17A9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CD17A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част от правилника за дейност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CD17A9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CD17A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CD17A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CD17A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CD17A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CD17A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CD17A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CD17A9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CD17A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CD17A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CD17A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CD17A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CD17A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CD17A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CD17A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 w:rsidRPr="00CD17A9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CD17A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CD17A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CD17A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CD17A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CD17A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CD17A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CD17A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CD17A9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DC05BB" w:rsidRPr="00CD17A9" w:rsidRDefault="00365B99" w:rsidP="0026781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365B99" w:rsidRPr="00CD17A9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б)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CD17A9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Pr="00CD17A9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CD17A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CD17A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CD17A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CD17A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DC05BB" w:rsidRPr="00CD17A9" w:rsidRDefault="00365B99" w:rsidP="0026781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365B99" w:rsidRPr="00CD17A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CD17A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CD17A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CD17A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CD17A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CD17A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365B99" w:rsidRPr="00CD17A9" w:rsidRDefault="00DC05BB" w:rsidP="000F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CD17A9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CD17A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CD17A9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CD17A9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CD17A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CD17A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Методическото подпомагане и външният мониторинг се осъществяват за училищата – от Министерството на образованието и науката и от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регионалните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CD17A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 w:rsidRPr="00CD17A9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CD17A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CD17A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CD17A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CD17A9" w:rsidRDefault="00365B99" w:rsidP="00CD1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Институциите могат да ползват и други източници на финансиране – спонсорство, национални и междуна</w:t>
      </w:r>
      <w:r w:rsidR="00DC05BB" w:rsidRPr="00CD17A9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CD17A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CD17A9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D17A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</w:p>
    <w:p w:rsidR="009D2F0F" w:rsidRPr="00CD17A9" w:rsidRDefault="009D2F0F" w:rsidP="006402D8">
      <w:pPr>
        <w:pStyle w:val="Heading3"/>
        <w:rPr>
          <w:rFonts w:ascii="Times New Roman" w:hAnsi="Times New Roman" w:cs="Times New Roman"/>
        </w:rPr>
      </w:pPr>
    </w:p>
    <w:p w:rsidR="009D2F0F" w:rsidRPr="0077435D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Algerian" w:eastAsiaTheme="minorEastAsia" w:hAnsi="Algerian"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Приложение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№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1</w:t>
      </w:r>
    </w:p>
    <w:p w:rsidR="009D2F0F" w:rsidRPr="0077435D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</w:p>
    <w:p w:rsidR="009D2F0F" w:rsidRPr="0077435D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Критерии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области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оценяване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показатели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за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измерване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постигнатото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CD17A9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по 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 на критериите по области на 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бр. 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Показатели за измерване </w:t>
            </w:r>
            <w:r w:rsidR="00E3700D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на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равнището на постигнатото качество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bookmarkStart w:id="1" w:name="_GoBack"/>
            <w:bookmarkEnd w:id="1"/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образование 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съдържанието 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Липсват начини и средства за разпространяване на информация, свързана с д</w:t>
            </w:r>
            <w:r w:rsidR="00420273" w:rsidRPr="00CD17A9">
              <w:rPr>
                <w:rFonts w:ascii="Times New Roman" w:eastAsiaTheme="minorEastAsia" w:hAnsi="Times New Roman"/>
                <w:lang w:eastAsia="bg-BG"/>
              </w:rPr>
              <w:t>ейността на училището, в т.ч.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училищен сайт.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 в сградата на училището, има статичен училищен сайт.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табла, училищен вестник, рекламни материали и електронни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информационни средства в сградата на училището, поддържа се динамичен училищен сайт.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Използват се многообразни начини и средства за публичност и популяризиране на предлаганото</w:t>
            </w:r>
            <w:r w:rsidR="0070796C" w:rsidRPr="00CD17A9">
              <w:rPr>
                <w:rFonts w:ascii="Times New Roman" w:eastAsiaTheme="minorEastAsia" w:hAnsi="Times New Roman"/>
                <w:lang w:eastAsia="bg-BG"/>
              </w:rPr>
              <w:t xml:space="preserve"> образование и съдържанието му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издаване на училищен вестник; училищно радио и/или телевизия; електронни информационни средства; брошури, рекламни материали и др.; поддържа се динамичен училищен сайт за учебната година с архивиране на предходните и опции за обучение и оценяване онлайн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E3700D" w:rsidRPr="00CD17A9">
              <w:rPr>
                <w:rFonts w:ascii="Times New Roman" w:eastAsiaTheme="minorEastAsia" w:hAnsi="Times New Roman"/>
                <w:lang w:val="en-US" w:eastAsia="bg-BG"/>
              </w:rPr>
              <w:t>.</w:t>
            </w:r>
          </w:p>
          <w:p w:rsidR="006F73FE" w:rsidRPr="00CD17A9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ресурсен кабинет.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2,5</w:t>
            </w:r>
            <w:r w:rsidR="00337AE7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асансьори; ресурсен кабинет.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др.) в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кабинети и учебни работилници/лаборатории, но не по всички изучавани професии/ специалности; наличните са оборудвани с морално и физически остаряла, често повреждаща се техника</w:t>
            </w:r>
            <w:r w:rsidR="00DA0AE3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морално и физически остаряла, често повреждаща се техника</w:t>
            </w:r>
            <w:r w:rsidR="00DA0AE3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</w:t>
            </w:r>
            <w:r w:rsidR="00DA0AE3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работилници/лаборатории и по всички изучавани професии/специалности, оборудвани с работеща и използваща се в голяма част от реалния бизнес техника; поне една от учебните</w:t>
            </w:r>
          </w:p>
          <w:p w:rsidR="006F73FE" w:rsidRPr="00CD17A9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работилници/лаборатории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 xml:space="preserve"> е оборудвана със съвременна работеща техника, използвана от фирмите в бранша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5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Предлагане на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  <w:p w:rsidR="004A660F" w:rsidRPr="00CD17A9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рофесии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/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специалности, изучавани в училището, които са с приоритетно значение на регионалния пазар на труда</w:t>
            </w:r>
            <w:r w:rsidR="00DA0AE3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Една от изучаваните в училището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професии/специалности е с приоритетно значение на регионалния пазар на труда</w:t>
            </w:r>
            <w:r w:rsidR="00DA0AE3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Две от изучаваните в училището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професии/специалности (три и повече) са с приоритетно значение на регионалния пазар на труда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 xml:space="preserve">. </w:t>
            </w: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3,0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не е ефективно, налице са сигнали, не се използват възможностите на ИКТ; служителите, които го</w:t>
            </w:r>
          </w:p>
          <w:p w:rsidR="006F73FE" w:rsidRPr="00CD17A9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съществяват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,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Административното обслужване е достъпно, на добро равнище, но без използване на ИКТ; служителите, които го осъществяват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лзване инструменти; използват се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и различни форми на ИКТ; служителите са компетентни, вежливи,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коректни, любезни и приветливи</w:t>
            </w:r>
            <w:r w:rsidR="006C617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2,0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само в една форма на обучение</w:t>
            </w:r>
            <w:r w:rsidR="00AA261D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две форми на обучение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три форми на обучение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повече от три форми на обучение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 w:rsidRPr="00CD17A9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 w:rsidRPr="00CD17A9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</w:p>
          <w:p w:rsidR="006F73FE" w:rsidRPr="00CD17A9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 2%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 спрямо об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 xml:space="preserve">щия брой обучавани – </w:t>
            </w:r>
            <w:r w:rsidR="00AA261D" w:rsidRPr="00CD17A9">
              <w:rPr>
                <w:rFonts w:ascii="Times New Roman" w:eastAsiaTheme="minorEastAsia" w:hAnsi="Times New Roman"/>
                <w:lang w:eastAsia="bg-BG"/>
              </w:rPr>
              <w:t>от 2% до 5%.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дял на учениците от уязвими г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 xml:space="preserve">рупи спрямо общия брой обучавани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от 5% до 10%.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брой на учениците от уязвими гр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>упи спрямо общия брой обучавани – над 10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  <w:r w:rsidR="00FE111B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lang w:eastAsia="bg-BG"/>
              </w:rPr>
              <w:t>2,0 т.</w:t>
            </w:r>
          </w:p>
        </w:tc>
      </w:tr>
      <w:tr w:rsidR="006F73FE" w:rsidRPr="00CD17A9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професионално обучение и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придобиване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на професионални знания, умения и компетентности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от 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професионално обучение и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професионални знания, умен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 xml:space="preserve">ия и компетентности от учениците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по една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професия/специалност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на професионални знания, умения и компетентности от учениците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по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две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CD17A9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по три и повече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 професионална 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повишаване на качеството на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образованието и обучението в 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разработена вътрешна система</w:t>
            </w:r>
            <w:r w:rsidR="0063068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Разработена е вътрешна система за повишаване на качеството на образованието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и обучението в училището и тя функционира епизодично</w:t>
            </w:r>
            <w:r w:rsidR="0063068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Разработена е вътрешна система за повишаване</w:t>
            </w:r>
            <w:r w:rsidR="00420273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на качеството, тя функционира и се отчитат резултати</w:t>
            </w:r>
            <w:r w:rsidR="00BF23A0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Разработена е вътрешна система за осигуряване на качеств</w:t>
            </w:r>
            <w:r w:rsidR="00BF23A0" w:rsidRPr="00CD17A9">
              <w:rPr>
                <w:rFonts w:ascii="Times New Roman" w:eastAsiaTheme="minorEastAsia" w:hAnsi="Times New Roman"/>
                <w:lang w:eastAsia="bg-BG"/>
              </w:rPr>
              <w:t>ото и тя функционира ефективно –</w:t>
            </w:r>
            <w:r w:rsidR="00E9230E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BF23A0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  <w:r w:rsidR="00BF23A0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но епизодично</w:t>
            </w:r>
            <w:r w:rsidR="00BF23A0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50% от показателите за измерване на постигнатото качество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80% от показателите за измерване на постигнатото качество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  <w:r w:rsidR="0087292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CD17A9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 е проведено самооценяване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Проведено е самооценяване, но не е изготвен доклад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доклад, но не са формулирани коригиращи мерки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 и са формулирани коригиращи мерки</w:t>
            </w:r>
            <w:r w:rsidR="0087292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информираните и 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консултираните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за кариерно раз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 xml:space="preserve">витие от общия брой обучавани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информирани и консултирани обучавани за кариерно развитие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Информирани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и консултирани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за кариерно развитие обучавани не надвишават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30%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3140F6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87292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учебните програми за производствена практика, ЗИП и СИП по професионална подготовка, разработени с участието на представители на бизнеса, от общи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 xml:space="preserve">я брой на тези учебни програми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учебни програми за производствена практика, ЗИП и СИП по професионална подготовка, разработени с участието на представители на бизнеса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B63E8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Осигуреност на педагогическия персонал с квалификация, съответстваща на изискванията към обучаващите, определени в ДОС за придобиване на квалификация по 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Недостатъчна осигурено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до 50%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Минимална осигуреност на педагогичес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 xml:space="preserve">кия персонал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от 51 до 75%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Средна осигурено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от 76 до 99%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Максимална осигурен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ост на педагогическия персонал –</w:t>
            </w:r>
            <w:r w:rsidR="00E9230E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осигурени условия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в процеса на обучение. Прилагат се интерактивни методи</w:t>
            </w:r>
            <w:r w:rsidR="008D53DA" w:rsidRPr="00CD17A9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дискусионни (дебати, беседи, дискусии)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6F73FE" w:rsidRPr="00CD17A9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136B19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 w:rsidR="00136B19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Осигурени са условия за пол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зване на мултимедия в над 40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 от всички кабинети. Прилагат се интерактивни методи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дискусии). Докладвани са и са обсъдени на заседание на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 xml:space="preserve"> П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едагогическия съвет,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 xml:space="preserve"> на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методическо обединение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Осигурени са условия за ползване на мултимедия и интернет в над 60% от всички кабинети; осигурени са интерактивни дъски. Осигурен е подходящ софтуер за професионално обучение. Прилагат се интерактивни методи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като: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ситуационни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(симулация, ролеви игри, казуси и др.); опитни (проекти, експерименти); дискусионни (дебати, беседи, дискусии). Докладвани са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 xml:space="preserve"> и са обсъдени на заседание на П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едагогическия съвет, 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методическо обединение</w:t>
            </w:r>
            <w:r w:rsidR="00B45765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учителите,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учители, участвали 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 20%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21% до 60%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участвали 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допълнително 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различни 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бучение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обучение,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учители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136B19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учители,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 10%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11% до 30%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30%</w:t>
            </w:r>
            <w:r w:rsidR="00136B19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учителите, участвали в допълнително обучение чрез мобилност в друга страна и/или на работно място в реална работна среда, от 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участвали в допълнително обучение чрез мобилност в друга страна и/или на работно място в реална работна среда</w:t>
            </w:r>
            <w:r w:rsidR="00044BB2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брой учители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4BB2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Няма договори 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6F73FE" w:rsidRPr="00CD17A9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Учениците/курсистите,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провели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практическо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обучение на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работно място в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реална работна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среда и/или в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условията на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мобилност в друга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страна, от общия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брой обучавани,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които по учебен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план провеждат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практическо</w:t>
                  </w:r>
                </w:p>
              </w:tc>
            </w:tr>
            <w:tr w:rsidR="004A660F" w:rsidRPr="00CD17A9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обучение – %</w:t>
                  </w:r>
                </w:p>
              </w:tc>
            </w:tr>
          </w:tbl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работодатели, практическите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 xml:space="preserve"> занятия се провеждат само в училището.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само за до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30% от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учениците/курсистите,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такава.</w:t>
                  </w:r>
                </w:p>
              </w:tc>
            </w:tr>
          </w:tbl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 в училището или в учебна 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на стопанска организация,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а за производствената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 xml:space="preserve">работна среда за 31% – 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70% от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учениците/курсистите,</w:t>
                  </w:r>
                </w:p>
              </w:tc>
            </w:tr>
            <w:tr w:rsidR="004A660F" w:rsidRPr="00CD17A9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такава.</w:t>
                  </w:r>
                </w:p>
              </w:tc>
            </w:tr>
          </w:tbl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CD17A9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CD17A9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CD17A9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за над 70%</w:t>
                  </w:r>
                </w:p>
              </w:tc>
            </w:tr>
            <w:tr w:rsidR="004A660F" w:rsidRPr="00CD17A9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от учениците/курсистите,</w:t>
                  </w:r>
                </w:p>
              </w:tc>
            </w:tr>
            <w:tr w:rsidR="004A660F" w:rsidRPr="00CD17A9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CD17A9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CD17A9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такава.</w:t>
                  </w:r>
                </w:p>
              </w:tc>
            </w:tr>
          </w:tbl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отпадналите от училище към 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придобилите професионална квалификация от 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придобилите професионална квалификация лица от уязвимите групи към постъпилите в началото на обучението 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от тези групи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успешно положилите държавните изпити и/или изпитите по теория и по практика на професията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допуснатите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и участват в 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31% до 60% от изпитите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60% от изпитите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партньори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професии 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общия брой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отказ (с писмо 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мълчалив отказ)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изпити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Организация 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имат достатъчни умения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достатъчни 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 планиране на урока,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 планиране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урока и/или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разбират 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необходимостта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да извършват промени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промени в плановете си,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извършват 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извършват промени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 да отговорят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в 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 или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отговорят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тделни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ученици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Използване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използват разнообразни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форми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разнообразни 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форми за проверка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проверка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 проверка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учениците/курсисти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те.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формулиране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имат точно и ясно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критериите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формулирани критерии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ф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 оценяване на знанията,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критерии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омпетентностите,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информираността на ученици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те за 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 компетентностите на 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ениците и теса запознати с тях.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</w:t>
            </w:r>
            <w:r w:rsidR="007F150C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Ритмичност на 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оценяват ритмично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 в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са в съответствие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за 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Наредбата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оценяване, проверяват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прецизно писмените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работи, отстраняват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грешките, оценяват ги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CD17A9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 w:rsidRPr="00CD17A9"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училището, включва се в дейности за борба с тютюнопушенето, наркоманията, агресията и др., подпомага социално слаби ученици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нтерес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професионална</w:t>
            </w:r>
          </w:p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аетост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аетост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аетост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аетост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 w:rsidRPr="00CD17A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CD17A9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CD17A9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CD17A9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CD17A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D17A9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lastRenderedPageBreak/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професии/специалности; наличните са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работилници/лаборатории по всички изучавани професии/специалности , оборудвани с морално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професии/специалности, оборудвани с работеща и използваща се в голяма 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работилници/лаборатории по всички изучавани професии/специалности, оборудвани с работеща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използваща се в голяма част от реалния бизнес техника; поне една от учебните 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(кабинети, учебни 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Осигуряване на възможност за обучение в различни форми на обучение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отчитат се резултати, на основание на които се правят анализи и изводи и се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методи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 подходящ софтуер за професионално обучение. Прилагат се интерактивни 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успешно положилите изпитите по теория и по практика на 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преподавателите имат достатъчни умения при планиране на учебната дейност и/или не разбират необходимостта да извършват промени в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От 61% до 80% от преподавателите имат достатъчни умения при планиране на учебната дейност, проявяват гъвкавост и творчество и разбират необходимостта да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Степен на удовлетвореност на придобилите професионална квалификация от качеството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77435D">
          <w:footerReference w:type="default" r:id="rId8"/>
          <w:pgSz w:w="16839" w:h="11907" w:orient="landscape" w:code="9"/>
          <w:pgMar w:top="810" w:right="1134" w:bottom="540" w:left="1134" w:header="709" w:footer="709" w:gutter="0"/>
          <w:cols w:space="708"/>
          <w:noEndnote/>
          <w:docGrid w:linePitch="299"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A6" w:rsidRDefault="00B212A6" w:rsidP="0059116B">
      <w:pPr>
        <w:spacing w:after="0" w:line="240" w:lineRule="auto"/>
      </w:pPr>
      <w:r>
        <w:separator/>
      </w:r>
    </w:p>
  </w:endnote>
  <w:endnote w:type="continuationSeparator" w:id="0">
    <w:p w:rsidR="00B212A6" w:rsidRDefault="00B212A6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D17A9">
          <w:rPr>
            <w:rFonts w:hint="eastAsia"/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val="bg-BG" w:eastAsia="bg-BG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EE5F2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D17A9">
          <w:rPr>
            <w:rFonts w:hint="eastAsia"/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A6" w:rsidRDefault="00B212A6" w:rsidP="0059116B">
      <w:pPr>
        <w:spacing w:after="0" w:line="240" w:lineRule="auto"/>
      </w:pPr>
      <w:r>
        <w:separator/>
      </w:r>
    </w:p>
  </w:footnote>
  <w:footnote w:type="continuationSeparator" w:id="0">
    <w:p w:rsidR="00B212A6" w:rsidRDefault="00B212A6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05237"/>
    <w:rsid w:val="000313BE"/>
    <w:rsid w:val="00032B93"/>
    <w:rsid w:val="00033794"/>
    <w:rsid w:val="000434A2"/>
    <w:rsid w:val="00044BB2"/>
    <w:rsid w:val="0004538E"/>
    <w:rsid w:val="000462D0"/>
    <w:rsid w:val="00055A4D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3E15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C14B4"/>
    <w:rsid w:val="001D4099"/>
    <w:rsid w:val="001E023A"/>
    <w:rsid w:val="001F1AFA"/>
    <w:rsid w:val="0021703A"/>
    <w:rsid w:val="002224D7"/>
    <w:rsid w:val="002265C7"/>
    <w:rsid w:val="00227201"/>
    <w:rsid w:val="00242347"/>
    <w:rsid w:val="00252F58"/>
    <w:rsid w:val="00267819"/>
    <w:rsid w:val="002723BA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253D"/>
    <w:rsid w:val="00571A40"/>
    <w:rsid w:val="005861FD"/>
    <w:rsid w:val="0059116B"/>
    <w:rsid w:val="005B6FF2"/>
    <w:rsid w:val="005C7338"/>
    <w:rsid w:val="005D25E3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435D"/>
    <w:rsid w:val="007751DB"/>
    <w:rsid w:val="00786AFA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1262A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F2026"/>
    <w:rsid w:val="00A0173D"/>
    <w:rsid w:val="00A13B24"/>
    <w:rsid w:val="00A17E75"/>
    <w:rsid w:val="00A20134"/>
    <w:rsid w:val="00A34C0F"/>
    <w:rsid w:val="00A405F8"/>
    <w:rsid w:val="00A53444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212A6"/>
    <w:rsid w:val="00B217A2"/>
    <w:rsid w:val="00B3418A"/>
    <w:rsid w:val="00B4261F"/>
    <w:rsid w:val="00B43767"/>
    <w:rsid w:val="00B45765"/>
    <w:rsid w:val="00B45C5E"/>
    <w:rsid w:val="00B63643"/>
    <w:rsid w:val="00B91637"/>
    <w:rsid w:val="00B95680"/>
    <w:rsid w:val="00BA125A"/>
    <w:rsid w:val="00BC7255"/>
    <w:rsid w:val="00BE294F"/>
    <w:rsid w:val="00BE649A"/>
    <w:rsid w:val="00BF23A0"/>
    <w:rsid w:val="00C005DA"/>
    <w:rsid w:val="00C01F65"/>
    <w:rsid w:val="00C66B73"/>
    <w:rsid w:val="00C84253"/>
    <w:rsid w:val="00C85B04"/>
    <w:rsid w:val="00CA4D11"/>
    <w:rsid w:val="00CB58B3"/>
    <w:rsid w:val="00CC2401"/>
    <w:rsid w:val="00CC29AB"/>
    <w:rsid w:val="00CD17A9"/>
    <w:rsid w:val="00CE7668"/>
    <w:rsid w:val="00CE784A"/>
    <w:rsid w:val="00D01ECD"/>
    <w:rsid w:val="00D05405"/>
    <w:rsid w:val="00D445FA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2527"/>
    <w:rsid w:val="00E9230E"/>
    <w:rsid w:val="00E94207"/>
    <w:rsid w:val="00E949F7"/>
    <w:rsid w:val="00EA5B2E"/>
    <w:rsid w:val="00EA6D2E"/>
    <w:rsid w:val="00EB4E27"/>
    <w:rsid w:val="00EC5001"/>
    <w:rsid w:val="00ED12B2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677439-8754-419E-AEFA-7521AF6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0054-B87C-43B4-9371-8AAD5541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9008</Words>
  <Characters>51347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</cp:lastModifiedBy>
  <cp:revision>10</cp:revision>
  <cp:lastPrinted>2020-09-23T12:28:00Z</cp:lastPrinted>
  <dcterms:created xsi:type="dcterms:W3CDTF">2016-09-12T16:06:00Z</dcterms:created>
  <dcterms:modified xsi:type="dcterms:W3CDTF">2021-09-15T12:19:00Z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